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wmf" ContentType="image/x-wm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numbering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uppressAutoHyphens w:val="false"/>
        <w:bidi w:val="0"/>
        <w:spacing w:lineRule="auto" w:line="240" w:before="0" w:after="0"/>
        <w:ind w:hanging="0" w:left="0" w:right="-113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cs="Times New Roman" w:ascii="Times New Roman" w:hAnsi="Times New Roman"/>
          <w:sz w:val="21"/>
          <w:szCs w:val="21"/>
        </w:rPr>
        <w:t xml:space="preserve">Конструкция КПП выполнена в соответствии с требованиями ГОСТ Р 50941-2017 «Кабина защитная. Общие технические требования и методы испытаний». </w:t>
      </w:r>
    </w:p>
    <w:p>
      <w:pPr>
        <w:pStyle w:val="Normal"/>
        <w:widowControl/>
        <w:suppressAutoHyphens w:val="false"/>
        <w:bidi w:val="0"/>
        <w:spacing w:lineRule="auto" w:line="240" w:before="0" w:after="0"/>
        <w:ind w:hanging="0" w:left="0" w:right="-113"/>
        <w:jc w:val="both"/>
        <w:rPr>
          <w:rFonts w:ascii="Times New Roman" w:hAnsi="Times New Roman" w:cs="Times New Roman"/>
          <w:sz w:val="21"/>
          <w:szCs w:val="21"/>
        </w:rPr>
      </w:pPr>
      <w:r>
        <w:rPr/>
      </w:r>
    </w:p>
    <w:p>
      <w:pPr>
        <w:pStyle w:val="Normal"/>
        <w:widowControl/>
        <w:suppressAutoHyphens w:val="false"/>
        <w:bidi w:val="0"/>
        <w:spacing w:lineRule="auto" w:line="240" w:before="0" w:after="0"/>
        <w:ind w:hanging="0" w:left="0" w:right="-113"/>
        <w:jc w:val="both"/>
        <w:rPr>
          <w:b/>
          <w:bCs/>
          <w:u w:val="none"/>
        </w:rPr>
      </w:pPr>
      <w:r>
        <w:rPr>
          <w:rFonts w:eastAsia="Times New Roman" w:cs="Times New Roman" w:ascii="Times New Roman" w:hAnsi="Times New Roman"/>
          <w:b/>
          <w:bCs/>
          <w:sz w:val="21"/>
          <w:szCs w:val="21"/>
          <w:u w:val="none"/>
        </w:rPr>
        <w:t>Функциональные, технические характеристики</w:t>
      </w:r>
    </w:p>
    <w:p>
      <w:pPr>
        <w:pStyle w:val="Normal"/>
        <w:widowControl w:val="false"/>
        <w:tabs>
          <w:tab w:val="clear" w:pos="708"/>
          <w:tab w:val="left" w:pos="993" w:leader="none"/>
        </w:tabs>
        <w:spacing w:lineRule="auto" w:line="240" w:before="0" w:after="0"/>
        <w:ind w:firstLine="567" w:right="-144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/>
      </w:r>
    </w:p>
    <w:tbl>
      <w:tblPr>
        <w:tblW w:w="9781" w:type="dxa"/>
        <w:jc w:val="left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698"/>
        <w:gridCol w:w="3696"/>
        <w:gridCol w:w="5387"/>
      </w:tblGrid>
      <w:tr>
        <w:trPr>
          <w:trHeight w:val="419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contextualSpacing/>
              <w:jc w:val="center"/>
              <w:rPr>
                <w:rFonts w:ascii="Times New Roman" w:hAnsi="Times New Roman"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sz w:val="16"/>
                <w:szCs w:val="16"/>
              </w:rPr>
              <w:t>№</w:t>
            </w:r>
          </w:p>
          <w:p>
            <w:pPr>
              <w:pStyle w:val="Normal"/>
              <w:spacing w:lineRule="auto" w:line="228" w:before="0" w:after="0"/>
              <w:ind w:right="-144"/>
              <w:contextualSpacing/>
              <w:jc w:val="center"/>
              <w:rPr>
                <w:rFonts w:ascii="Times New Roman" w:hAnsi="Times New Roman"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sz w:val="16"/>
                <w:szCs w:val="16"/>
              </w:rPr>
              <w:t>п/п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contextualSpacing/>
              <w:jc w:val="center"/>
              <w:rPr>
                <w:rFonts w:ascii="Times New Roman" w:hAnsi="Times New Roman"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sz w:val="16"/>
                <w:szCs w:val="16"/>
              </w:rPr>
              <w:t>Наименование показателей товара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contextualSpacing/>
              <w:jc w:val="center"/>
              <w:rPr>
                <w:rFonts w:ascii="Times New Roman" w:hAnsi="Times New Roman"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sz w:val="16"/>
                <w:szCs w:val="16"/>
              </w:rPr>
              <w:t>Характеристики (значения показателей) товара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sz w:val="18"/>
                <w:szCs w:val="18"/>
              </w:rPr>
              <w:t>3</w:t>
            </w:r>
          </w:p>
        </w:tc>
      </w:tr>
      <w:tr>
        <w:trPr>
          <w:trHeight w:val="20" w:hRule="atLeast"/>
        </w:trPr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8"/>
                <w:szCs w:val="18"/>
                <w:lang w:eastAsia="ru-RU"/>
              </w:rPr>
              <w:t>Контрольно-пропускной пункт в количестве 1 комплекта</w:t>
            </w:r>
          </w:p>
          <w:p>
            <w:pPr>
              <w:pStyle w:val="Normal"/>
              <w:spacing w:lineRule="auto" w:line="228" w:before="0" w:after="0"/>
              <w:ind w:right="-144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8"/>
                <w:szCs w:val="18"/>
                <w:lang w:eastAsia="ru-RU"/>
              </w:rPr>
              <w:t>Страна происхождения товара – Российская Федерация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jc w:val="center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 xml:space="preserve">Назначение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для осуществления установленного режима доступа на объект (с объекта)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jc w:val="center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sz w:val="18"/>
                <w:szCs w:val="18"/>
              </w:rPr>
              <w:t>2.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 xml:space="preserve">Этажность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</w:tr>
      <w:tr>
        <w:trPr>
          <w:trHeight w:val="70" w:hRule="atLeast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jc w:val="center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sz w:val="18"/>
                <w:szCs w:val="18"/>
              </w:rPr>
              <w:t>3.</w:t>
            </w:r>
          </w:p>
        </w:tc>
        <w:tc>
          <w:tcPr>
            <w:tcW w:w="3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Основание КПП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буро-винтовые сваи, обработанные антикоррозийным составом. Цоколь по периметру КПП закрыт металлическим листом в цвет фасада с разуклонкой согласно существующего рельефа.</w:t>
            </w:r>
          </w:p>
        </w:tc>
      </w:tr>
      <w:tr>
        <w:trPr>
          <w:trHeight w:val="104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36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8"/>
                <w:szCs w:val="18"/>
                <w:lang w:eastAsia="ru-RU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длина сваи: м – 1,5</w:t>
            </w:r>
          </w:p>
        </w:tc>
      </w:tr>
      <w:tr>
        <w:trPr>
          <w:trHeight w:val="20" w:hRule="atLeast"/>
        </w:trPr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28" w:before="0" w:after="0"/>
              <w:ind w:right="-144"/>
              <w:rPr>
                <w:rFonts w:ascii="Times New Roman" w:hAnsi="Times New Roman" w:cs="Times New Roman"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4. Основные характеристики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hanging="250" w:right="-144"/>
              <w:jc w:val="center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sz w:val="18"/>
                <w:szCs w:val="18"/>
              </w:rPr>
              <w:t>4.1.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28" w:before="0" w:after="0"/>
              <w:jc w:val="both"/>
              <w:rPr>
                <w:rFonts w:ascii="Times New Roman" w:hAnsi="Times New Roman" w:cs="Times New Roman"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Внешние габаритные размеры КПП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высота, мм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28" w:before="0"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3200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длина, мм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6000 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ширина, мм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4200 </w:t>
            </w:r>
          </w:p>
        </w:tc>
      </w:tr>
      <w:tr>
        <w:trPr>
          <w:trHeight w:val="70" w:hRule="atLeast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4.2.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sz w:val="18"/>
                <w:szCs w:val="18"/>
              </w:rPr>
              <w:t>Конструкция КПП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- климатическое исполнение КПП </w:t>
            </w:r>
            <w:r>
              <w:rPr>
                <w:rFonts w:ascii="Times New Roman" w:hAnsi="Times New Roman"/>
                <w:sz w:val="18"/>
                <w:szCs w:val="18"/>
              </w:rPr>
              <w:t>(с учетом ветровой, снеговой нагрузки);</w:t>
            </w:r>
          </w:p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несущий элемент – высокопрочный металлический каркас;</w:t>
            </w:r>
          </w:p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 оборудуется двумя помещениями: электронная проходная и комната охраны;</w:t>
            </w:r>
          </w:p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-стены КПП наружные и внутренние перегородки, крыша, наружные дверные блоки утеплены;</w:t>
            </w:r>
          </w:p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 каркас КПП обеспечивает пространственную жесткость и безопасность эксплуатации;</w:t>
            </w:r>
          </w:p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Calibri" w:cs="Times New Roman"/>
                <w:b/>
                <w:sz w:val="18"/>
                <w:szCs w:val="18"/>
                <w:shd w:fill="FFFFFF" w:val="clear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- металлоконструкции, использованные для возведения КПП, а также конструкции основного и дополнительного каркаса прогрунтованы и окрашены. </w:t>
            </w:r>
            <w:r>
              <w:rPr>
                <w:rFonts w:ascii="Times New Roman" w:hAnsi="Times New Roman"/>
                <w:sz w:val="18"/>
                <w:szCs w:val="18"/>
              </w:rPr>
              <w:t>Окрашенные поверхности должны быть ровными, без потеков, пятен, пузырей и посторонних включений).</w:t>
            </w:r>
          </w:p>
        </w:tc>
      </w:tr>
      <w:tr>
        <w:trPr>
          <w:trHeight w:val="126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Кровля односкатная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материал: профильный настил универсального типа;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высота волны, мм – 35</w:t>
            </w:r>
          </w:p>
        </w:tc>
      </w:tr>
      <w:tr>
        <w:trPr>
          <w:trHeight w:val="7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толщина листа, мм: 0, 45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4.3.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Комната охраны (внешние размеры)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ширина, мм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jc w:val="both"/>
              <w:rPr>
                <w:rFonts w:ascii="Times New Roman" w:hAnsi="Times New Roman" w:eastAsia="Calibri" w:cs="Times New Roman"/>
                <w:b/>
                <w:sz w:val="18"/>
                <w:szCs w:val="18"/>
                <w:shd w:fill="FFFFFF" w:val="clear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2200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длина, мм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jc w:val="both"/>
              <w:rPr>
                <w:rFonts w:ascii="Times New Roman" w:hAnsi="Times New Roman" w:eastAsia="Calibri" w:cs="Times New Roman"/>
                <w:b/>
                <w:sz w:val="18"/>
                <w:szCs w:val="18"/>
                <w:shd w:fill="FFFFFF" w:val="clear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3000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4.4.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Пулестойкость КПП и комнаты охраны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  <w:highlight w:val="green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  <w:highlight w:val="green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КПП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стены, дверные блоки, окна, потолок - класс пулестойкости Бр4 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  <w:highlight w:val="green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  <w:highlight w:val="green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Комната охраны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jc w:val="both"/>
              <w:rPr>
                <w:rFonts w:ascii="Times New Roman" w:hAnsi="Times New Roman" w:eastAsia="Calibri" w:cs="Times New Roman"/>
                <w:b/>
                <w:sz w:val="18"/>
                <w:szCs w:val="18"/>
                <w:shd w:fill="FFFFFF" w:val="clear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стены, дверные блоки, окна – класс пулестойкости Бр5 </w:t>
            </w:r>
          </w:p>
        </w:tc>
      </w:tr>
      <w:tr>
        <w:trPr>
          <w:trHeight w:val="93" w:hRule="atLeast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5.</w:t>
            </w:r>
          </w:p>
        </w:tc>
        <w:tc>
          <w:tcPr>
            <w:tcW w:w="3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Стены наружные (состав)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 xml:space="preserve">- панели металлические, цветовое решение 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  <w:lang w:val="en-US" w:eastAsia="ru-RU"/>
              </w:rPr>
              <w:t>Ral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 xml:space="preserve"> 7037;</w:t>
            </w:r>
          </w:p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каркас для металлических панелей;</w:t>
            </w:r>
          </w:p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пароизоляция;</w:t>
            </w:r>
          </w:p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 xml:space="preserve">- утеплитель: </w:t>
            </w:r>
          </w:p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вид утеплителя – на основе базальта;</w:t>
            </w:r>
          </w:p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класс горючести утеплителя – НГ</w:t>
            </w:r>
          </w:p>
        </w:tc>
      </w:tr>
      <w:tr>
        <w:trPr>
          <w:trHeight w:val="285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W w:w="36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толщина утеплителя, мм – 100</w:t>
            </w:r>
          </w:p>
        </w:tc>
      </w:tr>
      <w:tr>
        <w:trPr>
          <w:trHeight w:val="7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W w:w="36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сплошной (сварной) бронированный лист класс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 xml:space="preserve">пулестойкости Бр4; 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несущий каркас КПП;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каркас для внутренних отделочных панелей;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внутренние отделочные панели: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класс горючести панелей – НГ;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 xml:space="preserve">цвет панелей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по согласованию с Заказчиком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6.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Фронтон (состав)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 xml:space="preserve">- панели металлические, цветовое решение 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  <w:lang w:val="en-US" w:eastAsia="ru-RU"/>
              </w:rPr>
              <w:t>Ral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 xml:space="preserve"> 7037;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каркас для металлических панелей;</w:t>
            </w:r>
          </w:p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каркас для скатной кровли</w:t>
            </w:r>
          </w:p>
        </w:tc>
      </w:tr>
      <w:tr>
        <w:trPr>
          <w:trHeight w:val="320" w:hRule="atLeast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7.</w:t>
            </w:r>
          </w:p>
        </w:tc>
        <w:tc>
          <w:tcPr>
            <w:tcW w:w="3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Перегородки внутренние комнаты охраны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(состав)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отделочные панели: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класс горючести панелей – НГ;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 цвет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по согласованию с заказчиком;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каркас для внутренних отделочных панелей;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сплошной (сварной) бронированный лист, класс пулестойкости Бр5;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утеплитель в несущем каркасе перегородок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:</w:t>
            </w:r>
          </w:p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вид утеплителя – на основе базальта;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highlight w:val="cy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класс горючести утеплителя – НГ</w:t>
            </w:r>
          </w:p>
        </w:tc>
      </w:tr>
      <w:tr>
        <w:trPr>
          <w:trHeight w:val="255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толщина утеплителя, мм – 100</w:t>
            </w:r>
          </w:p>
        </w:tc>
      </w:tr>
      <w:tr>
        <w:trPr>
          <w:trHeight w:val="7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каркас для внутренних отделочных панелей;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отделочные панели: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класс горючести панелей – НГ;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 цвет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по согласованию с Заказчиком</w:t>
            </w:r>
          </w:p>
        </w:tc>
      </w:tr>
      <w:tr>
        <w:trPr>
          <w:trHeight w:val="217" w:hRule="atLeast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8.</w:t>
            </w:r>
          </w:p>
        </w:tc>
        <w:tc>
          <w:tcPr>
            <w:tcW w:w="3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Кровля (состав)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материал: профильный настил универсального типа;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высота волны, мм – 35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;</w:t>
            </w:r>
          </w:p>
        </w:tc>
      </w:tr>
      <w:tr>
        <w:trPr>
          <w:trHeight w:val="264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толщина листа, мм: 0, 45</w:t>
            </w:r>
          </w:p>
        </w:tc>
      </w:tr>
      <w:tr>
        <w:trPr>
          <w:trHeight w:val="114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 xml:space="preserve">- цветовое решение 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  <w:lang w:val="en-US" w:eastAsia="ru-RU"/>
              </w:rPr>
              <w:t>Ral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 xml:space="preserve"> 7037;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-несущий каркас кровли;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 xml:space="preserve">- 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со стороны наклона кровля оснащена приемным желобом с водостоком</w:t>
            </w:r>
          </w:p>
        </w:tc>
      </w:tr>
      <w:tr>
        <w:trPr>
          <w:trHeight w:val="168" w:hRule="atLeast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9.</w:t>
            </w:r>
          </w:p>
        </w:tc>
        <w:tc>
          <w:tcPr>
            <w:tcW w:w="3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Потолок (состав)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пароизоляция;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утеплитель:</w:t>
            </w:r>
          </w:p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вид утеплителя – на основе базальта;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класс горючести утеплителя – НГ</w:t>
            </w:r>
          </w:p>
        </w:tc>
      </w:tr>
      <w:tr>
        <w:trPr>
          <w:trHeight w:val="168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толщина утеплителя, мм: 100</w:t>
            </w:r>
          </w:p>
        </w:tc>
      </w:tr>
      <w:tr>
        <w:trPr>
          <w:trHeight w:val="7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 xml:space="preserve">- cплошной (сварной) бронированный лист класс пулестойкости Бр4; 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несущий каркас КПП;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-каркас для внутренних отделочных потолочных панелей;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внутренние отделочные потолочные панели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(класс горючести – НГ)</w:t>
            </w:r>
          </w:p>
        </w:tc>
      </w:tr>
      <w:tr>
        <w:trPr>
          <w:trHeight w:val="138" w:hRule="atLeast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  <w:lang w:val="en-US"/>
              </w:rPr>
              <w:t>10</w:t>
            </w: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.</w:t>
            </w:r>
          </w:p>
        </w:tc>
        <w:tc>
          <w:tcPr>
            <w:tcW w:w="3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Пол (состав)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кварц виниловое покрытие;</w:t>
            </w:r>
          </w:p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подложка;</w:t>
            </w:r>
          </w:p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шпунтованная половая доска:</w:t>
            </w:r>
          </w:p>
        </w:tc>
      </w:tr>
      <w:tr>
        <w:trPr>
          <w:trHeight w:val="21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толщина половой доски, мм: 30</w:t>
            </w:r>
          </w:p>
        </w:tc>
      </w:tr>
      <w:tr>
        <w:trPr>
          <w:trHeight w:val="102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пароизоляция;</w:t>
            </w:r>
          </w:p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утеплитель в несущем каркасе КПП:</w:t>
            </w:r>
          </w:p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вид утеплителя – на основе базальта;</w:t>
            </w:r>
          </w:p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класс горючести утеплителя – НГ;</w:t>
            </w:r>
          </w:p>
        </w:tc>
      </w:tr>
      <w:tr>
        <w:trPr>
          <w:trHeight w:val="133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толщина утеплителя, мм: 100</w:t>
            </w:r>
          </w:p>
        </w:tc>
      </w:tr>
      <w:tr>
        <w:trPr>
          <w:trHeight w:val="7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металлический лист с отверстиями для слива конденсата и вентилирования:</w:t>
            </w:r>
          </w:p>
        </w:tc>
      </w:tr>
      <w:tr>
        <w:trPr>
          <w:trHeight w:val="243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толщина металлического листа, мм: 1,5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11.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Односкатный козырек</w:t>
            </w:r>
          </w:p>
        </w:tc>
      </w:tr>
      <w:tr>
        <w:trPr>
          <w:trHeight w:val="132" w:hRule="atLeast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отступ от помещения, мм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700</w:t>
            </w:r>
          </w:p>
        </w:tc>
      </w:tr>
      <w:tr>
        <w:trPr>
          <w:trHeight w:val="279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материал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профильный настил универсального типа</w:t>
            </w:r>
          </w:p>
        </w:tc>
      </w:tr>
      <w:tr>
        <w:trPr>
          <w:trHeight w:val="27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высота волны, мм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35</w:t>
            </w:r>
          </w:p>
        </w:tc>
      </w:tr>
      <w:tr>
        <w:trPr>
          <w:trHeight w:val="131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толщина листа, мм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0, 45</w:t>
            </w:r>
          </w:p>
        </w:tc>
      </w:tr>
      <w:tr>
        <w:trPr>
          <w:trHeight w:val="255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цветовое решение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val="en-US" w:eastAsia="ru-RU"/>
              </w:rPr>
              <w:t>Ral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 xml:space="preserve"> 7037</w:t>
            </w:r>
          </w:p>
        </w:tc>
      </w:tr>
      <w:tr>
        <w:trPr>
          <w:trHeight w:val="224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каркас козырька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наличие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12.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Дверные блоки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  <w:lang w:val="en-US"/>
              </w:rPr>
              <w:t>12.1.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Наружные в количестве 4шт.</w:t>
            </w:r>
          </w:p>
        </w:tc>
      </w:tr>
      <w:tr>
        <w:trPr>
          <w:trHeight w:val="200" w:hRule="atLeast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высота, мм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2100</w:t>
            </w:r>
          </w:p>
        </w:tc>
      </w:tr>
      <w:tr>
        <w:trPr>
          <w:trHeight w:val="117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ширина, мм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900</w:t>
            </w:r>
          </w:p>
        </w:tc>
      </w:tr>
      <w:tr>
        <w:trPr>
          <w:trHeight w:val="192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класс защиты по взломостойкости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val="en-US" w:eastAsia="ru-RU"/>
              </w:rPr>
              <w:t>III</w:t>
            </w:r>
          </w:p>
        </w:tc>
      </w:tr>
      <w:tr>
        <w:trPr>
          <w:trHeight w:val="249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класс пулестойкости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Бр4</w:t>
            </w:r>
          </w:p>
        </w:tc>
      </w:tr>
      <w:tr>
        <w:trPr>
          <w:trHeight w:val="216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комплектация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ригели 5 шт. и защита от перепиливания и высверливания рабочих элементов;</w:t>
            </w:r>
          </w:p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-петли с опорным подшипником, с противосъёмными ригелями:</w:t>
            </w:r>
          </w:p>
        </w:tc>
      </w:tr>
      <w:tr>
        <w:trPr>
          <w:trHeight w:val="255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количество, шт.: 2</w:t>
            </w:r>
          </w:p>
        </w:tc>
      </w:tr>
      <w:tr>
        <w:trPr>
          <w:trHeight w:val="138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-два резиновых контура уплотнения по всему периметру дверного полотна;</w:t>
            </w:r>
          </w:p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 xml:space="preserve">- доводчик </w:t>
            </w:r>
          </w:p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запорная задвижка;</w:t>
            </w:r>
          </w:p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ручка типа «дуга» с базой 200 мм с двух сторон;</w:t>
            </w:r>
          </w:p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приспособления для ведения ответной</w:t>
            </w:r>
          </w:p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стрельбы (бойницы) оснащены защитной заслонкой с поворотно-откидным механизмом и комплектом исполнительных устройств.</w:t>
            </w:r>
          </w:p>
        </w:tc>
      </w:tr>
      <w:tr>
        <w:trPr>
          <w:trHeight w:val="7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Две входные двери оборудованы: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 xml:space="preserve">- считывателями карт, 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 xml:space="preserve">- магнитными замками, 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датчиками состояния двери,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светодиодными индикаторами,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комплектом кабелей CQR для подключения,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блоком управления,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батареей аккумуляторной,</w:t>
            </w:r>
          </w:p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двумя механическими врезными замками сувальдного типа повышенной секретности на каждую дверь.</w:t>
            </w:r>
          </w:p>
        </w:tc>
      </w:tr>
      <w:tr>
        <w:trPr>
          <w:trHeight w:val="13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Две двери на выход из помещения оборудованы: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электромеханическими замками с возможностью блокировки из помещения постового и ДЧ по 1 шт. на каждую дверь;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механическими врезными замками сувальдного типа повышенной секретности по 1 шт. на каждую дверь</w:t>
            </w:r>
          </w:p>
        </w:tc>
      </w:tr>
      <w:tr>
        <w:trPr>
          <w:trHeight w:val="275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  <w:lang w:val="en-US"/>
              </w:rPr>
              <w:t>1</w:t>
            </w: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2.2.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Внутренняя (вход в комнату охраны) в количестве 1 шт.</w:t>
            </w:r>
          </w:p>
        </w:tc>
      </w:tr>
      <w:tr>
        <w:trPr>
          <w:trHeight w:val="266" w:hRule="atLeast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высота, мм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2100</w:t>
            </w:r>
          </w:p>
        </w:tc>
      </w:tr>
      <w:tr>
        <w:trPr>
          <w:trHeight w:val="127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ширина, мм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850</w:t>
            </w:r>
          </w:p>
        </w:tc>
      </w:tr>
      <w:tr>
        <w:trPr>
          <w:trHeight w:val="204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класс защиты по взломостойкости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val="en-US" w:eastAsia="ru-RU"/>
              </w:rPr>
              <w:t>III</w:t>
            </w:r>
          </w:p>
        </w:tc>
      </w:tr>
      <w:tr>
        <w:trPr>
          <w:trHeight w:val="30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класс пулестойкости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Бр-5</w:t>
            </w:r>
          </w:p>
        </w:tc>
      </w:tr>
      <w:tr>
        <w:trPr>
          <w:trHeight w:val="7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комплектация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ригели 5 шт. и защита от перепиливания и высверливания рабочих элементов;</w:t>
            </w:r>
          </w:p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-петли с опорным подшипником, с противосъёмными ригелями:</w:t>
            </w:r>
          </w:p>
        </w:tc>
      </w:tr>
      <w:tr>
        <w:trPr>
          <w:trHeight w:val="255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количество, шт.:</w:t>
            </w:r>
            <w:r>
              <w:rPr>
                <w:rFonts w:eastAsia="Times New Roman" w:cs="Times New Roman" w:ascii="Times New Roman" w:hAnsi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</w:tr>
      <w:tr>
        <w:trPr>
          <w:trHeight w:val="7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-два резиновых контура уплотнения по всему периметру дверного полотна;</w:t>
            </w:r>
          </w:p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доводчик;</w:t>
            </w:r>
          </w:p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запорная задвижка;</w:t>
            </w:r>
          </w:p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ручка типа «нажимная» с двух сторон;</w:t>
            </w:r>
          </w:p>
          <w:p>
            <w:pPr>
              <w:pStyle w:val="Normal"/>
              <w:spacing w:lineRule="auto" w:line="228" w:before="0" w:after="0"/>
              <w:ind w:right="-144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 xml:space="preserve">- два механических врезных </w:t>
            </w:r>
          </w:p>
          <w:p>
            <w:pPr>
              <w:pStyle w:val="Normal"/>
              <w:spacing w:lineRule="auto" w:line="228" w:before="0" w:after="0"/>
              <w:ind w:right="-144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замка сувальдного типа повышенной секретности</w:t>
            </w:r>
          </w:p>
        </w:tc>
      </w:tr>
      <w:tr>
        <w:trPr>
          <w:trHeight w:val="70" w:hRule="atLeast"/>
        </w:trPr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1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3.Оконные блоки</w:t>
            </w:r>
          </w:p>
        </w:tc>
      </w:tr>
      <w:tr>
        <w:trPr>
          <w:trHeight w:val="165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13.1.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Оконный блок в количестве 1 шт.</w:t>
            </w:r>
          </w:p>
        </w:tc>
      </w:tr>
      <w:tr>
        <w:trPr>
          <w:trHeight w:val="276" w:hRule="atLeast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высота стеклопакета, мм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 xml:space="preserve">1000 </w:t>
            </w:r>
          </w:p>
        </w:tc>
      </w:tr>
      <w:tr>
        <w:trPr>
          <w:trHeight w:val="123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ширина стеклопакета, мм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 xml:space="preserve">700 </w:t>
            </w:r>
          </w:p>
        </w:tc>
      </w:tr>
      <w:tr>
        <w:trPr>
          <w:trHeight w:val="105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класс пулестойкости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Бр5</w:t>
            </w:r>
          </w:p>
        </w:tc>
      </w:tr>
      <w:tr>
        <w:trPr>
          <w:trHeight w:val="137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стеклопакет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тонированный</w:t>
            </w:r>
          </w:p>
        </w:tc>
      </w:tr>
      <w:tr>
        <w:trPr>
          <w:trHeight w:val="147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бронелоток с подвижной кареткой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наличие</w:t>
            </w:r>
          </w:p>
        </w:tc>
      </w:tr>
      <w:tr>
        <w:trPr>
          <w:trHeight w:val="158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переговорное устройство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наличие</w:t>
            </w:r>
          </w:p>
        </w:tc>
      </w:tr>
      <w:tr>
        <w:trPr>
          <w:trHeight w:val="246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13.2.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Оконный блок в количестве 1 шт.</w:t>
            </w:r>
          </w:p>
        </w:tc>
      </w:tr>
      <w:tr>
        <w:trPr>
          <w:trHeight w:val="264" w:hRule="atLeast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высота стеклопакета, мм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1000</w:t>
            </w:r>
          </w:p>
        </w:tc>
      </w:tr>
      <w:tr>
        <w:trPr/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ширина стеклопакета, мм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1450</w:t>
            </w:r>
          </w:p>
        </w:tc>
      </w:tr>
      <w:tr>
        <w:trPr>
          <w:trHeight w:val="185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класс пулестойкоси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Бр5</w:t>
            </w:r>
          </w:p>
        </w:tc>
      </w:tr>
      <w:tr>
        <w:trPr>
          <w:trHeight w:val="185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стеклопакет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тонированный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бронелоток с подвижной кареткой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наличие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переговорное устройство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наличие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13.3.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Оконный блок в количестве 1 шт.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высота стеклопакета, мм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1000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ширина стеклопакета, мм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1450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класс пулестойкоси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Бр4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стеклопакет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тонированный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13.4.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Оконные блоки в количестве 3 шт.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высота стеклопакета, мм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1000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ширина стеклопакета, мм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1000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класс пулестойкоси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Бр4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стеклопакет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тонированный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14.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Освещение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14.1.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Внутренние светильники в количестве 4 шт.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тип монтажа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встраиваемый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мощность, Вт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30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размер, мм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300х300</w:t>
            </w:r>
          </w:p>
        </w:tc>
      </w:tr>
      <w:tr>
        <w:trPr>
          <w:trHeight w:val="175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расположение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проходная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14.2.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Внутренние светильники в количестве 2 шт.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тип монтажа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встраиваемый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мощность, Вт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30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размер, мм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300х300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расположение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комната охраны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14.3.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Наружные светильники в количестве 2 шт.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тип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светодиодный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исполнение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уличное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тип монтажа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накладной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расположение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над входными дверьми по 1 шт. на каждой стороне КПП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мощность, Вт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30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15.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Электрооборудование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15.1.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Кабельная продукция</w:t>
            </w:r>
          </w:p>
        </w:tc>
      </w:tr>
      <w:tr>
        <w:trPr>
          <w:trHeight w:val="155" w:hRule="atLeast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сечение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 соответствии с нагрузкой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монтаж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скрытый в защитной гофре (в полном объеме)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15.2.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Щит распределительный в количестве 1 шт.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корпус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ударопрочный пластик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защита от случайного переключения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наличие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DIN-рейка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наличие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15.3.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Устройство защитного отключения 1шт.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замок для установки на DIN-рейку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наличие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корпус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не поддерживающая горение пластмасса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количество полюсов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номинальный ток, 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40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15.4.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Вводной автоматический выключатель в количестве 1 шт.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замок для установки на DIN-рейку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наличие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корпус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не поддерживающая горение пластмасса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количество полюсов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номинальный ток, 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40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защита от длительных перегрузок и токов короткого замыкания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i/>
                <w:sz w:val="18"/>
                <w:szCs w:val="18"/>
              </w:rPr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15.5.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Распределительный автоматический выключатель в количестве 3 шт.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замок для установки на DIN-рейку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наличие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корпус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не поддерживающая горение пластмасса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количество полюсов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номинальный ток, 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10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защита от длительных перегрузок и токов короткого замыкания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наличие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15.6.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Распределительный автоматический выключатель в количестве 4 шт.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замок для установки на DIN-рейку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наличие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корпус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не поддерживающая горение пластмасса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количество полюсов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номинальный ток, 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16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защита от длительных перегрузок и токов короткого замыкания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наличие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15.7.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Распределительный автоматический выключатель в количестве 1 шт.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замок для установки на DIN-рейку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наличие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корпус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не поддерживающая горение пластмасса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количество полюсов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номинальный ток, 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25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защита от длительных перегрузок и токов короткого замыкания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наличие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15.8.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Розетки в количестве 3 шт.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расположение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комната охраны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количество (гнезд) мест подключения, шт.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тип монтажа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встраиваемая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15.9.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Розетка в количестве 1 шт.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расположение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проходная около рамки металлоискателя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количество (гнезд) мест подключения, шт.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тип монтажа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встраиваемая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15.10.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Розетка в количестве 1 шт.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расположение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проходная около турникета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количество (гнезд) мест подключения, шт.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тип монтажа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встраиваемая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15.11.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Розетка в количестве 2 шт.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расположение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проходная в месте ожидания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количество (гнезд) мест подключения, шт.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тип монтажа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встраиваемая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16.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Кондиционер (сплит-система) в количестве 1 шт.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один наружный блок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наличие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два внутренних блока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наличие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зимний пакет оборудования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наличие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потребляемая мощность (охлаждение), кВт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2,5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 xml:space="preserve">потребляемая мощность </w:t>
            </w:r>
          </w:p>
          <w:p>
            <w:pPr>
              <w:pStyle w:val="Normal"/>
              <w:spacing w:lineRule="auto" w:line="228" w:before="0" w:after="0"/>
              <w:ind w:right="-14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(обогрев), кВт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защита от поражения эл. током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I класс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класс энергоэффективности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А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17.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Вентилятор канальный в количестве 2 шт.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диаметр канала, мм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125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производительность, м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  <w:vertAlign w:val="superscript"/>
                <w:lang w:eastAsia="ru-RU"/>
              </w:rPr>
              <w:t>3</w:t>
            </w: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/ч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200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напряжение питания, В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220-240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потребляемая мощность, Вт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25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уровень шума, дБ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38</w:t>
            </w:r>
          </w:p>
        </w:tc>
      </w:tr>
      <w:tr>
        <w:trPr>
          <w:trHeight w:val="20" w:hRule="atLeast"/>
        </w:trPr>
        <w:tc>
          <w:tcPr>
            <w:tcW w:w="6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расположение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1 шт. комната охраны, 1 шт. проходная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18.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Сети связи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Телефонизация: От телефонной коробки производится разводка до каждого рабочего места сотрудника, где устанавливается розетка с 2 телефонными портами RJ-11. В месте ожидания посетителей устанавливаются 2 телефонные розетки с портами RJ-11.</w:t>
            </w:r>
          </w:p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Для организации связи устанавливается телекоммуникационный шкаф. К шкафу прокладывается электрический кабель 3х2,5 от автоматического выключателя мощностью 16А, в телекоммуникационном шкафу устанавливается блок розеток с входной вилкой тип IEC-60320-C14, количество розеток 8 шт.</w:t>
            </w:r>
          </w:p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Информационная кабельная подсистема строится в соответствии с требованиями стандарта ISO/IEC 11801 Class D, категория 5Е.</w:t>
            </w:r>
          </w:p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Каждое рабочее место сотрудника оборудовано 3 информационными розетками с портами RJ-45. Максимальная длина кабеля от информационного порта RJ-45 до коммутационной панели не превышает 90 м.</w:t>
            </w:r>
          </w:p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 xml:space="preserve">Все кабели от портов информационных розеток сводятся на соответствующие коммутационные панели в устанавливаемый телекоммуникационный шкаф. </w:t>
            </w:r>
          </w:p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Для подключения создаваемой локально-вычислительной сети КПП к существующей сети связи прокладывается волоконно-оптический одномодовый кабель с 8 волокнами от телекоммуникационного шкафа до существующего шкафа видеонаблюдения (согласовать с заказчиком). Осуществляется распайка волоконно-оптического кабеля, оконечиваются волокна разъемами SC.</w:t>
            </w:r>
          </w:p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Все кабельные системы локальной вычислительной сети выполнены с учётом требований по физической защите трасс от повреждения. Все порты RJ-45, расположенные на рабочих местах, а также на коммутационной панели в коммутационном шкафу, промаркированы таким способом, чтобы их можно было однозначно идентифицировать.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19.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Коробка распределительная телефонная в количестве 1 шт.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34"/>
              <w:jc w:val="both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металлическая коробка распределительная телефонная КВ-КРТ-10 для установки плинта на 10 пар типоразмера LSA-PROFIL с замком предназначена для коммутации телефонных линий и каналов передачи данных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20.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i/>
                <w:i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Шкаф телекоммуникационный в количестве 1 шт.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21.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Блок розеток в количестве 1 шт.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22.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Кабель оптический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23.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Видеонаблюдение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24.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Система контроля и управления доступом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24.</w:t>
            </w: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1</w:t>
            </w: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Турникет в количестве 2 шт.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24.</w:t>
            </w: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2</w:t>
            </w: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Металлодетектор арочный в количестве 2 шт.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25.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ПЭВМ для вывода изображения в количестве 1 комплекта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26.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Считыватель в количестве 6 шт.</w:t>
            </w:r>
          </w:p>
        </w:tc>
      </w:tr>
      <w:tr>
        <w:trPr>
          <w:trHeight w:val="20" w:hRule="atLeast"/>
        </w:trPr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27. К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онтроллер доступа в количестве 4 шт.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28.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Преобразователь интерфейсов 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RS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>-485/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RS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-232 в </w:t>
            </w:r>
            <w:r>
              <w:rPr>
                <w:rFonts w:cs="Times New Roman" w:ascii="Times New Roman" w:hAnsi="Times New Roman"/>
                <w:sz w:val="18"/>
                <w:szCs w:val="18"/>
                <w:lang w:val="en-US"/>
              </w:rPr>
              <w:t>Ethernet</w:t>
            </w: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 в количестве 2 шт.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29.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Кнопка прохода в количестве 2 шт.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 максимальный коммутируемый ток 0,1 А при напряжении 12 В;</w:t>
            </w:r>
          </w:p>
          <w:p>
            <w:pPr>
              <w:pStyle w:val="Normal"/>
              <w:spacing w:lineRule="auto" w:line="228"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 накладной металлический корпус;</w:t>
            </w:r>
          </w:p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- контакты нормально-разомкнутые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30.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Вызывная панель домофона в количестве 1 шт.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31.</w:t>
            </w:r>
          </w:p>
        </w:tc>
        <w:tc>
          <w:tcPr>
            <w:tcW w:w="9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b/>
                <w:i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Монитор видеодомофона цветной в количестве 1 шт.</w:t>
            </w:r>
          </w:p>
        </w:tc>
      </w:tr>
      <w:tr>
        <w:trPr>
          <w:trHeight w:val="20" w:hRule="atLeast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eastAsia="Calibri" w:cs="Times New Roman"/>
                <w:bCs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Cs/>
                <w:sz w:val="18"/>
                <w:szCs w:val="18"/>
              </w:rPr>
              <w:t>32.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 w:before="0" w:after="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Пожарная сигнализация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извещатель пожарный дымовой оптико-электронный адресно-аналоговый, со встроенным изолятором короткого замыкания и возможностью подключения выносного устройства индикации ДИП-34А-05 в количестве 2 шт.;</w:t>
            </w:r>
          </w:p>
          <w:p>
            <w:pPr>
              <w:pStyle w:val="Normal"/>
              <w:spacing w:lineRule="auto" w:line="228" w:before="0" w:after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извещатель пожарный ручной адресный ИПР 513-3АМ в количестве 2 шт.</w:t>
            </w:r>
          </w:p>
          <w:p>
            <w:pPr>
              <w:pStyle w:val="Normal"/>
              <w:numPr>
                <w:ilvl w:val="0"/>
                <w:numId w:val="0"/>
              </w:numPr>
              <w:shd w:val="clear" w:color="auto" w:fill="FFFFFF"/>
              <w:spacing w:lineRule="auto" w:line="228" w:before="0" w:after="0"/>
              <w:outlineLvl w:val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световое табло ЛЮКС-24 ВЫХОД в количестве 2 шт.</w:t>
            </w:r>
          </w:p>
          <w:p>
            <w:pPr>
              <w:pStyle w:val="Normal"/>
              <w:numPr>
                <w:ilvl w:val="0"/>
                <w:numId w:val="0"/>
              </w:numPr>
              <w:shd w:val="clear" w:color="auto" w:fill="FFFFFF"/>
              <w:spacing w:lineRule="auto" w:line="228" w:before="0" w:after="0"/>
              <w:outlineLvl w:val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 xml:space="preserve">- источник питания ИВЭПР 12/5 в количестве 1 шт. </w:t>
            </w:r>
          </w:p>
          <w:p>
            <w:pPr>
              <w:pStyle w:val="Normal"/>
              <w:spacing w:lineRule="auto" w:line="228" w:before="0" w:after="0"/>
              <w:ind w:right="-14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- оповещатель Свирель в количестве 1 шт.</w:t>
            </w:r>
          </w:p>
        </w:tc>
      </w:tr>
    </w:tbl>
    <w:p>
      <w:pPr>
        <w:pStyle w:val="Normal"/>
        <w:widowControl w:val="false"/>
        <w:spacing w:lineRule="auto" w:line="240" w:before="0" w:after="0"/>
        <w:ind w:firstLine="709" w:right="-141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false"/>
        <w:bidi w:val="0"/>
        <w:spacing w:lineRule="auto" w:line="240" w:before="0" w:after="0"/>
        <w:ind w:hanging="0" w:left="0" w:right="-113"/>
        <w:jc w:val="left"/>
        <w:rPr>
          <w:rFonts w:ascii="Times New Roman" w:hAnsi="Times New Roman" w:cs="Times New Roman"/>
          <w:sz w:val="21"/>
          <w:szCs w:val="21"/>
        </w:rPr>
      </w:pPr>
      <w:r>
        <w:rPr>
          <w:rFonts w:eastAsia="Times New Roman" w:cs="Times New Roman" w:ascii="Times New Roman" w:hAnsi="Times New Roman"/>
          <w:color w:val="000000"/>
          <w:sz w:val="21"/>
          <w:szCs w:val="21"/>
          <w:lang w:eastAsia="ar-SA"/>
        </w:rPr>
        <w:t xml:space="preserve">Гарантийный срок на </w:t>
      </w:r>
      <w:r>
        <w:rPr>
          <w:rFonts w:eastAsia="Times New Roman" w:cs="Times New Roman" w:ascii="Times New Roman" w:hAnsi="Times New Roman"/>
          <w:color w:val="000000"/>
          <w:sz w:val="21"/>
          <w:szCs w:val="21"/>
          <w:lang w:eastAsia="ar-SA"/>
        </w:rPr>
        <w:t>изделие</w:t>
      </w:r>
      <w:r>
        <w:rPr>
          <w:rFonts w:eastAsia="Times New Roman" w:cs="Times New Roman" w:ascii="Times New Roman" w:hAnsi="Times New Roman"/>
          <w:color w:val="000000"/>
          <w:sz w:val="21"/>
          <w:szCs w:val="21"/>
          <w:lang w:eastAsia="ar-SA"/>
        </w:rPr>
        <w:t xml:space="preserve"> составляет 24 месяца с даты подписания сторонами документа о приемке.</w:t>
      </w:r>
    </w:p>
    <w:p>
      <w:pPr>
        <w:pStyle w:val="Normal"/>
        <w:suppressAutoHyphens w:val="true"/>
        <w:snapToGrid w:val="false"/>
        <w:spacing w:lineRule="auto" w:line="240" w:before="0" w:after="0"/>
        <w:ind w:firstLine="567" w:right="-144"/>
        <w:jc w:val="both"/>
        <w:rPr>
          <w:rFonts w:ascii="Times New Roman" w:hAnsi="Times New Roman" w:eastAsia="Times New Roman" w:cs="Times New Roman"/>
          <w:sz w:val="21"/>
          <w:szCs w:val="21"/>
          <w:lang w:eastAsia="ar-SA"/>
        </w:rPr>
      </w:pPr>
      <w:r>
        <w:rPr/>
      </w:r>
    </w:p>
    <w:p>
      <w:pPr>
        <w:pStyle w:val="Normal"/>
        <w:spacing w:lineRule="auto" w:line="240" w:before="0" w:after="160"/>
        <w:rPr/>
      </w:pPr>
      <w:r>
        <w:rPr/>
      </w:r>
    </w:p>
    <w:sectPr>
      <w:type w:val="nextPage"/>
      <w:pgSz w:w="11906" w:h="16838"/>
      <w:pgMar w:left="1701" w:right="707" w:gutter="0" w:header="0" w:top="650" w:footer="0" w:bottom="1138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numPicBullet w:numPicBulletId="0">
    <w:pict>
      <v:shape style="width:172.8pt;height:259.2pt" o:bullet="t">
        <v:imagedata r:id="rId1" o:title=""/>
      </v:shape>
    </w:pict>
  </w:numPicBullet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9"/>
    <w:qFormat/>
    <w:rsid w:val="00a5242f"/>
    <w:pPr>
      <w:keepNext w:val="true"/>
      <w:spacing w:lineRule="auto" w:line="240" w:before="0" w:after="0"/>
      <w:jc w:val="center"/>
      <w:outlineLvl w:val="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Heading2">
    <w:name w:val="Heading 2"/>
    <w:basedOn w:val="Normal"/>
    <w:next w:val="BodyText"/>
    <w:link w:val="2"/>
    <w:uiPriority w:val="9"/>
    <w:qFormat/>
    <w:rsid w:val="00a5242f"/>
    <w:pPr>
      <w:keepNext w:val="true"/>
      <w:widowControl w:val="false"/>
      <w:tabs>
        <w:tab w:val="clear" w:pos="708"/>
        <w:tab w:val="left" w:pos="576" w:leader="none"/>
      </w:tabs>
      <w:suppressAutoHyphens w:val="true"/>
      <w:spacing w:lineRule="atLeast" w:line="100" w:before="120" w:after="0"/>
      <w:ind w:hanging="576" w:left="576"/>
      <w:jc w:val="center"/>
      <w:outlineLvl w:val="1"/>
    </w:pPr>
    <w:rPr>
      <w:rFonts w:ascii="Times New Roman" w:hAnsi="Times New Roman" w:eastAsia="Times New Roman" w:cs="Times New Roman"/>
      <w:b/>
      <w:kern w:val="2"/>
      <w:sz w:val="32"/>
      <w:szCs w:val="32"/>
      <w:lang w:eastAsia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9"/>
    <w:qFormat/>
    <w:rsid w:val="00a5242f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2" w:customStyle="1">
    <w:name w:val="Заголовок 2 Знак"/>
    <w:basedOn w:val="DefaultParagraphFont"/>
    <w:uiPriority w:val="9"/>
    <w:qFormat/>
    <w:rsid w:val="00a5242f"/>
    <w:rPr>
      <w:rFonts w:ascii="Times New Roman" w:hAnsi="Times New Roman" w:eastAsia="Times New Roman" w:cs="Times New Roman"/>
      <w:b/>
      <w:kern w:val="2"/>
      <w:sz w:val="32"/>
      <w:szCs w:val="32"/>
      <w:lang w:eastAsia="ar-SA"/>
    </w:rPr>
  </w:style>
  <w:style w:type="character" w:styleId="Hyperlink">
    <w:name w:val="Hyperlink"/>
    <w:basedOn w:val="DefaultParagraphFont"/>
    <w:uiPriority w:val="99"/>
    <w:unhideWhenUsed/>
    <w:rsid w:val="00a5242f"/>
    <w:rPr>
      <w:rFonts w:ascii="Times New Roman" w:hAnsi="Times New Roman" w:cs="Times New Roman"/>
      <w:color w:val="0000FF"/>
      <w:u w:val="single"/>
    </w:rPr>
  </w:style>
  <w:style w:type="character" w:styleId="Style12" w:customStyle="1">
    <w:name w:val="Текст сноски Знак"/>
    <w:basedOn w:val="DefaultParagraphFont"/>
    <w:uiPriority w:val="99"/>
    <w:qFormat/>
    <w:rsid w:val="00a5242f"/>
    <w:rPr>
      <w:sz w:val="20"/>
      <w:szCs w:val="20"/>
    </w:rPr>
  </w:style>
  <w:style w:type="character" w:styleId="ConsPlusNormal" w:customStyle="1">
    <w:name w:val="ConsPlusNormal Знак"/>
    <w:link w:val="ConsPlusNormal1"/>
    <w:qFormat/>
    <w:locked/>
    <w:rsid w:val="00a5242f"/>
    <w:rPr>
      <w:rFonts w:ascii="Arial" w:hAnsi="Arial" w:cs="Arial"/>
    </w:rPr>
  </w:style>
  <w:style w:type="character" w:styleId="Style13">
    <w:name w:val="Символ сноски"/>
    <w:basedOn w:val="DefaultParagraphFont"/>
    <w:uiPriority w:val="99"/>
    <w:unhideWhenUsed/>
    <w:qFormat/>
    <w:rsid w:val="00a5242f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ubjectvalue" w:customStyle="1">
    <w:name w:val="subjectvalue"/>
    <w:basedOn w:val="DefaultParagraphFont"/>
    <w:qFormat/>
    <w:rsid w:val="00a5242f"/>
    <w:rPr/>
  </w:style>
  <w:style w:type="character" w:styleId="21" w:customStyle="1">
    <w:name w:val="Основной текст (2) + Полужирный"/>
    <w:basedOn w:val="DefaultParagraphFont"/>
    <w:qFormat/>
    <w:rsid w:val="00a5242f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styleId="22" w:customStyle="1">
    <w:name w:val="Основной текст (2)"/>
    <w:basedOn w:val="DefaultParagraphFont"/>
    <w:qFormat/>
    <w:rsid w:val="00a5242f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styleId="Style14" w:customStyle="1">
    <w:name w:val="Абзац списка Знак"/>
    <w:link w:val="ListParagraph"/>
    <w:uiPriority w:val="34"/>
    <w:qFormat/>
    <w:rsid w:val="00a5242f"/>
    <w:rPr/>
  </w:style>
  <w:style w:type="character" w:styleId="Style15" w:customStyle="1">
    <w:name w:val="Основной текст Знак"/>
    <w:basedOn w:val="DefaultParagraphFont"/>
    <w:uiPriority w:val="99"/>
    <w:qFormat/>
    <w:rsid w:val="00a5242f"/>
    <w:rPr>
      <w:rFonts w:ascii="Calibri" w:hAnsi="Calibri" w:eastAsia="Calibri" w:cs="Times New Roman"/>
      <w:kern w:val="2"/>
      <w:lang w:eastAsia="ar-SA"/>
    </w:rPr>
  </w:style>
  <w:style w:type="character" w:styleId="FontStyle22" w:customStyle="1">
    <w:name w:val="Font Style22"/>
    <w:qFormat/>
    <w:rsid w:val="00a5242f"/>
    <w:rPr>
      <w:rFonts w:ascii="Arial" w:hAnsi="Arial" w:cs="Arial"/>
      <w:sz w:val="16"/>
      <w:szCs w:val="16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a5242f"/>
    <w:rPr>
      <w:rFonts w:ascii="Arial" w:hAnsi="Arial" w:cs="Arial"/>
      <w:sz w:val="18"/>
      <w:szCs w:val="18"/>
    </w:rPr>
  </w:style>
  <w:style w:type="character" w:styleId="Style17" w:customStyle="1">
    <w:name w:val="Верхний колонтитул Знак"/>
    <w:basedOn w:val="DefaultParagraphFont"/>
    <w:uiPriority w:val="99"/>
    <w:qFormat/>
    <w:rsid w:val="00a5242f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1" w:customStyle="1">
    <w:name w:val="Верхний колонтитул Знак1"/>
    <w:basedOn w:val="DefaultParagraphFont"/>
    <w:uiPriority w:val="99"/>
    <w:semiHidden/>
    <w:qFormat/>
    <w:rsid w:val="00a5242f"/>
    <w:rPr/>
  </w:style>
  <w:style w:type="character" w:styleId="Style18" w:customStyle="1">
    <w:name w:val="Нижний колонтитул Знак"/>
    <w:basedOn w:val="DefaultParagraphFont"/>
    <w:uiPriority w:val="99"/>
    <w:qFormat/>
    <w:rsid w:val="00a5242f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2" w:customStyle="1">
    <w:name w:val="Нижний колонтитул Знак1"/>
    <w:basedOn w:val="DefaultParagraphFont"/>
    <w:uiPriority w:val="99"/>
    <w:semiHidden/>
    <w:qFormat/>
    <w:rsid w:val="00a5242f"/>
    <w:rPr/>
  </w:style>
  <w:style w:type="character" w:styleId="Style19" w:customStyle="1">
    <w:name w:val="Основной текст с отступом Знак"/>
    <w:basedOn w:val="DefaultParagraphFont"/>
    <w:qFormat/>
    <w:rsid w:val="00a5242f"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a5242f"/>
    <w:rPr>
      <w:b/>
      <w:bCs/>
    </w:rPr>
  </w:style>
  <w:style w:type="character" w:styleId="Cardmaininfocontent" w:customStyle="1">
    <w:name w:val="cardmaininfo__content"/>
    <w:basedOn w:val="DefaultParagraphFont"/>
    <w:qFormat/>
    <w:rsid w:val="00a5242f"/>
    <w:rPr/>
  </w:style>
  <w:style w:type="character" w:styleId="Cardmaininfotitle" w:customStyle="1">
    <w:name w:val="cardmaininfo__title"/>
    <w:basedOn w:val="DefaultParagraphFont"/>
    <w:qFormat/>
    <w:rsid w:val="00a5242f"/>
    <w:rPr/>
  </w:style>
  <w:style w:type="character" w:styleId="Style20" w:customStyle="1">
    <w:name w:val="Основной текст_"/>
    <w:basedOn w:val="DefaultParagraphFont"/>
    <w:link w:val="23"/>
    <w:uiPriority w:val="99"/>
    <w:qFormat/>
    <w:locked/>
    <w:rsid w:val="00a5242f"/>
    <w:rPr>
      <w:spacing w:val="2"/>
      <w:shd w:fill="FFFFFF" w:val="clear"/>
    </w:rPr>
  </w:style>
  <w:style w:type="character" w:styleId="13" w:customStyle="1">
    <w:name w:val="Основной текст1"/>
    <w:basedOn w:val="Style20"/>
    <w:uiPriority w:val="99"/>
    <w:qFormat/>
    <w:rsid w:val="00a5242f"/>
    <w:rPr>
      <w:color w:val="000000"/>
      <w:spacing w:val="2"/>
      <w:w w:val="100"/>
      <w:shd w:fill="FFFFFF" w:val="clear"/>
      <w:lang w:val="ru-RU"/>
    </w:rPr>
  </w:style>
  <w:style w:type="paragraph" w:styleId="Style2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5"/>
    <w:uiPriority w:val="99"/>
    <w:rsid w:val="00a5242f"/>
    <w:pPr>
      <w:suppressAutoHyphens w:val="true"/>
      <w:spacing w:lineRule="auto" w:line="276" w:before="0" w:after="120"/>
    </w:pPr>
    <w:rPr>
      <w:rFonts w:ascii="Calibri" w:hAnsi="Calibri" w:eastAsia="Calibri" w:cs="Times New Roman"/>
      <w:kern w:val="2"/>
      <w:lang w:eastAsia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ucida Sans"/>
    </w:rPr>
  </w:style>
  <w:style w:type="paragraph" w:styleId="FootnoteText">
    <w:name w:val="Footnote Text"/>
    <w:basedOn w:val="Normal"/>
    <w:link w:val="Style12"/>
    <w:uiPriority w:val="99"/>
    <w:unhideWhenUsed/>
    <w:rsid w:val="00a5242f"/>
    <w:pPr>
      <w:spacing w:lineRule="auto" w:line="240" w:before="0" w:after="0"/>
      <w:jc w:val="both"/>
    </w:pPr>
    <w:rPr>
      <w:sz w:val="20"/>
      <w:szCs w:val="20"/>
    </w:rPr>
  </w:style>
  <w:style w:type="paragraph" w:styleId="ListParagraph">
    <w:name w:val="List Paragraph"/>
    <w:basedOn w:val="Normal"/>
    <w:link w:val="Style14"/>
    <w:uiPriority w:val="34"/>
    <w:qFormat/>
    <w:rsid w:val="00a5242f"/>
    <w:pPr>
      <w:spacing w:lineRule="auto" w:line="240" w:before="0" w:after="0"/>
      <w:ind w:left="720"/>
      <w:contextualSpacing/>
      <w:jc w:val="both"/>
    </w:pPr>
    <w:rPr/>
  </w:style>
  <w:style w:type="paragraph" w:styleId="ConsPlusNormal1" w:customStyle="1">
    <w:name w:val="ConsPlusNormal"/>
    <w:link w:val="ConsPlusNormal"/>
    <w:qFormat/>
    <w:rsid w:val="00a5242f"/>
    <w:pPr>
      <w:widowControl/>
      <w:bidi w:val="0"/>
      <w:spacing w:lineRule="auto" w:line="240" w:before="0" w:after="0"/>
      <w:ind w:firstLine="720"/>
      <w:jc w:val="left"/>
    </w:pPr>
    <w:rPr>
      <w:rFonts w:ascii="Arial" w:hAnsi="Arial" w:cs="Arial" w:eastAsia="Calibri" w:eastAsiaTheme="minorHAnsi"/>
      <w:color w:val="auto"/>
      <w:kern w:val="0"/>
      <w:sz w:val="22"/>
      <w:szCs w:val="22"/>
      <w:lang w:val="ru-RU" w:eastAsia="en-US" w:bidi="ar-SA"/>
    </w:rPr>
  </w:style>
  <w:style w:type="paragraph" w:styleId="14" w:customStyle="1">
    <w:name w:val="Абзац списка1"/>
    <w:qFormat/>
    <w:rsid w:val="00a5242f"/>
    <w:pPr>
      <w:widowControl/>
      <w:tabs>
        <w:tab w:val="clear" w:pos="708"/>
        <w:tab w:val="left" w:pos="3345" w:leader="none"/>
      </w:tabs>
      <w:bidi w:val="0"/>
      <w:spacing w:lineRule="auto" w:line="276" w:before="0" w:after="200"/>
      <w:ind w:left="720"/>
      <w:contextualSpacing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ConsNonformat" w:customStyle="1">
    <w:name w:val="ConsNonformat"/>
    <w:uiPriority w:val="99"/>
    <w:qFormat/>
    <w:rsid w:val="00a5242f"/>
    <w:pPr>
      <w:widowControl w:val="false"/>
      <w:bidi w:val="0"/>
      <w:spacing w:lineRule="auto" w:line="240" w:before="0" w:after="0"/>
      <w:jc w:val="left"/>
    </w:pPr>
    <w:rPr>
      <w:rFonts w:ascii="Courier New" w:hAnsi="Courier New" w:eastAsia="Calibri" w:cs="Courier New" w:eastAsiaTheme="minorHAnsi"/>
      <w:color w:val="auto"/>
      <w:kern w:val="0"/>
      <w:sz w:val="20"/>
      <w:szCs w:val="20"/>
      <w:lang w:eastAsia="ru-RU" w:val="ru-RU" w:bidi="ar-SA"/>
    </w:rPr>
  </w:style>
  <w:style w:type="paragraph" w:styleId="ConsTitle" w:customStyle="1">
    <w:name w:val="ConsTitle"/>
    <w:uiPriority w:val="99"/>
    <w:qFormat/>
    <w:rsid w:val="00a5242f"/>
    <w:pPr>
      <w:widowControl w:val="false"/>
      <w:bidi w:val="0"/>
      <w:spacing w:lineRule="auto" w:line="240" w:before="0" w:after="0"/>
      <w:jc w:val="left"/>
    </w:pPr>
    <w:rPr>
      <w:rFonts w:ascii="Arial" w:hAnsi="Arial" w:eastAsia="Calibri" w:cs="Arial" w:eastAsiaTheme="minorHAnsi"/>
      <w:b/>
      <w:bCs/>
      <w:color w:val="auto"/>
      <w:kern w:val="0"/>
      <w:sz w:val="20"/>
      <w:szCs w:val="20"/>
      <w:lang w:eastAsia="ru-RU" w:val="ru-RU" w:bidi="ar-SA"/>
    </w:rPr>
  </w:style>
  <w:style w:type="paragraph" w:styleId="Iauiue1" w:customStyle="1">
    <w:name w:val="Iau?iue1"/>
    <w:uiPriority w:val="99"/>
    <w:qFormat/>
    <w:rsid w:val="00a5242f"/>
    <w:pPr>
      <w:widowControl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0"/>
      <w:szCs w:val="20"/>
      <w:lang w:eastAsia="ru-RU" w:val="ru-RU" w:bidi="ar-SA"/>
    </w:rPr>
  </w:style>
  <w:style w:type="paragraph" w:styleId="Style181" w:customStyle="1">
    <w:name w:val="Style18"/>
    <w:qFormat/>
    <w:rsid w:val="00a5242f"/>
    <w:pPr>
      <w:widowControl w:val="false"/>
      <w:bidi w:val="0"/>
      <w:spacing w:lineRule="exact" w:line="211" w:before="0" w:after="0"/>
      <w:ind w:firstLine="461"/>
      <w:jc w:val="both"/>
    </w:pPr>
    <w:rPr>
      <w:rFonts w:ascii="Arial" w:hAnsi="Arial" w:eastAsia="Calibri" w:cs="Arial" w:eastAsiaTheme="minorHAnsi"/>
      <w:color w:val="auto"/>
      <w:kern w:val="0"/>
      <w:sz w:val="24"/>
      <w:szCs w:val="24"/>
      <w:lang w:eastAsia="ru-RU" w:val="ru-RU" w:bidi="ar-SA"/>
    </w:rPr>
  </w:style>
  <w:style w:type="paragraph" w:styleId="4" w:customStyle="1">
    <w:name w:val="Абзац списка4"/>
    <w:qFormat/>
    <w:rsid w:val="00a5242f"/>
    <w:pPr>
      <w:widowControl/>
      <w:tabs>
        <w:tab w:val="clear" w:pos="708"/>
        <w:tab w:val="left" w:pos="3345" w:leader="none"/>
      </w:tabs>
      <w:bidi w:val="0"/>
      <w:spacing w:lineRule="auto" w:line="276" w:before="0" w:after="200"/>
      <w:ind w:left="720"/>
      <w:contextualSpacing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ConsPlusTitle" w:customStyle="1">
    <w:name w:val="ConsPlusTitle"/>
    <w:qFormat/>
    <w:rsid w:val="00a5242f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eastAsia="ru-RU" w:val="ru-RU" w:bidi="ar-SA"/>
    </w:rPr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a5242f"/>
    <w:pPr>
      <w:spacing w:lineRule="auto" w:line="240" w:before="0" w:after="0"/>
      <w:jc w:val="both"/>
    </w:pPr>
    <w:rPr>
      <w:rFonts w:ascii="Arial" w:hAnsi="Arial" w:cs="Arial"/>
      <w:sz w:val="18"/>
      <w:szCs w:val="18"/>
    </w:rPr>
  </w:style>
  <w:style w:type="paragraph" w:styleId="Style23">
    <w:name w:val="Колонтитул"/>
    <w:basedOn w:val="Normal"/>
    <w:qFormat/>
    <w:pPr/>
    <w:rPr/>
  </w:style>
  <w:style w:type="paragraph" w:styleId="Header">
    <w:name w:val="Header"/>
    <w:basedOn w:val="Normal"/>
    <w:link w:val="Style17"/>
    <w:uiPriority w:val="99"/>
    <w:rsid w:val="00a5242f"/>
    <w:pPr>
      <w:tabs>
        <w:tab w:val="clear" w:pos="708"/>
        <w:tab w:val="center" w:pos="4153" w:leader="none"/>
        <w:tab w:val="right" w:pos="8306" w:leader="none"/>
      </w:tabs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Style18"/>
    <w:uiPriority w:val="99"/>
    <w:rsid w:val="00a5242f"/>
    <w:pPr>
      <w:tabs>
        <w:tab w:val="clear" w:pos="708"/>
        <w:tab w:val="center" w:pos="4153" w:leader="none"/>
        <w:tab w:val="right" w:pos="8306" w:leader="none"/>
      </w:tabs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ConsNormal" w:customStyle="1">
    <w:name w:val="ConsNormal"/>
    <w:uiPriority w:val="99"/>
    <w:qFormat/>
    <w:rsid w:val="00a5242f"/>
    <w:pPr>
      <w:widowControl w:val="fals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ConsPlusNonformat" w:customStyle="1">
    <w:name w:val="ConsPlusNonformat"/>
    <w:qFormat/>
    <w:rsid w:val="00a5242f"/>
    <w:pPr>
      <w:widowControl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2"/>
      <w:szCs w:val="20"/>
      <w:lang w:val="ru-RU" w:eastAsia="en-US" w:bidi="ar-SA"/>
    </w:rPr>
  </w:style>
  <w:style w:type="paragraph" w:styleId="BodyTextIndent">
    <w:name w:val="Body Text Indent"/>
    <w:basedOn w:val="Normal"/>
    <w:link w:val="Style19"/>
    <w:rsid w:val="00a5242f"/>
    <w:pPr>
      <w:spacing w:lineRule="auto" w:line="240" w:before="0" w:after="120"/>
      <w:ind w:left="283"/>
    </w:pPr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ListBullet">
    <w:name w:val="List Bullet"/>
    <w:basedOn w:val="Normal"/>
    <w:uiPriority w:val="99"/>
    <w:unhideWhenUsed/>
    <w:rsid w:val="00a5242f"/>
    <w:pPr>
      <w:numPr>
        <w:ilvl w:val="0"/>
        <w:numId w:val="1"/>
      </w:numPr>
      <w:spacing w:before="0" w:after="160"/>
      <w:contextualSpacing/>
    </w:pPr>
    <w:rPr/>
  </w:style>
  <w:style w:type="paragraph" w:styleId="NormalWeb">
    <w:name w:val="Normal (Web)"/>
    <w:basedOn w:val="Normal"/>
    <w:uiPriority w:val="99"/>
    <w:unhideWhenUsed/>
    <w:qFormat/>
    <w:rsid w:val="00a5242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a5242f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Default" w:customStyle="1">
    <w:name w:val="Default"/>
    <w:qFormat/>
    <w:rsid w:val="00a5242f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ru-RU" w:eastAsia="en-US" w:bidi="ar-SA"/>
    </w:rPr>
  </w:style>
  <w:style w:type="paragraph" w:styleId="23" w:customStyle="1">
    <w:name w:val="Основной текст2"/>
    <w:basedOn w:val="Normal"/>
    <w:link w:val="Style20"/>
    <w:uiPriority w:val="99"/>
    <w:qFormat/>
    <w:rsid w:val="00a5242f"/>
    <w:pPr>
      <w:widowControl w:val="false"/>
      <w:shd w:val="clear" w:color="auto" w:fill="FFFFFF"/>
      <w:spacing w:lineRule="exact" w:line="254" w:before="0" w:after="0"/>
      <w:jc w:val="both"/>
    </w:pPr>
    <w:rPr>
      <w:spacing w:val="2"/>
      <w:shd w:fill="FFFFFF" w:val="clear"/>
    </w:rPr>
  </w:style>
  <w:style w:type="numbering" w:styleId="NoList" w:default="1">
    <w:name w:val="No List"/>
    <w:uiPriority w:val="99"/>
    <w:semiHidden/>
    <w:unhideWhenUsed/>
    <w:qFormat/>
  </w:style>
  <w:style w:type="numbering" w:styleId="15" w:customStyle="1">
    <w:name w:val="Нет списка1"/>
    <w:uiPriority w:val="99"/>
    <w:semiHidden/>
    <w:unhideWhenUsed/>
    <w:qFormat/>
    <w:rsid w:val="00a5242f"/>
  </w:style>
  <w:style w:type="numbering" w:styleId="111" w:customStyle="1">
    <w:name w:val="Нет списка11"/>
    <w:uiPriority w:val="99"/>
    <w:semiHidden/>
    <w:unhideWhenUsed/>
    <w:qFormat/>
    <w:rsid w:val="00a5242f"/>
  </w:style>
  <w:style w:type="numbering" w:styleId="1111" w:customStyle="1">
    <w:name w:val="Нет списка111"/>
    <w:uiPriority w:val="99"/>
    <w:semiHidden/>
    <w:unhideWhenUsed/>
    <w:qFormat/>
    <w:rsid w:val="00a5242f"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3"/>
    <w:uiPriority w:val="39"/>
    <w:rsid w:val="00a5242f"/>
    <w:pPr>
      <w:spacing w:after="0" w:line="240" w:lineRule="auto"/>
      <w:jc w:val="both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numbering.xml.rels><?xml version="1.0" encoding="UTF-8"?>
<Relationships xmlns="http://schemas.openxmlformats.org/package/2006/relationships"><Relationship Id="rId1" Type="http://schemas.openxmlformats.org/officeDocument/2006/relationships/image" Target="media/image1.wmf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LibreOffice/7.6.4.1$Windows_X86_64 LibreOffice_project/e19e193f88cd6c0525a17fb7a176ed8e6a3e2aa1</Application>
  <AppVersion>15.0000</AppVersion>
  <Pages>5</Pages>
  <Words>1716</Words>
  <Characters>10995</Characters>
  <CharactersWithSpaces>12290</CharactersWithSpaces>
  <Paragraphs>460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2024-01-26T10:44:00Z</dcterms:created>
  <dc:creator>Пользователь Windows</dc:creator>
  <dc:description/>
  <dc:language>ru-RU</dc:language>
  <cp:lastModifiedBy/>
  <dcterms:modified xsi:type="dcterms:W3CDTF">2024-03-05T20:14:52Z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